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B96AF4">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B96AF4">
        <w:rPr>
          <w:rFonts w:ascii="Arial" w:hAnsi="Arial"/>
          <w:sz w:val="24"/>
          <w:szCs w:val="24"/>
        </w:rPr>
        <w:t>1</w:t>
      </w:r>
      <w:r w:rsidR="00126044">
        <w:rPr>
          <w:rFonts w:ascii="Arial" w:hAnsi="Arial"/>
          <w:sz w:val="24"/>
          <w:szCs w:val="24"/>
        </w:rPr>
        <w:t xml:space="preserve"> </w:t>
      </w:r>
      <w:r w:rsidR="003B3C93">
        <w:rPr>
          <w:rFonts w:ascii="Arial" w:hAnsi="Arial"/>
          <w:sz w:val="24"/>
          <w:szCs w:val="24"/>
        </w:rPr>
        <w:t>/201</w:t>
      </w:r>
      <w:r w:rsidR="00603B0D">
        <w:rPr>
          <w:rFonts w:ascii="Arial" w:hAnsi="Arial"/>
          <w:sz w:val="24"/>
          <w:szCs w:val="24"/>
        </w:rPr>
        <w:t>9</w:t>
      </w:r>
      <w:r w:rsidR="00B96AF4">
        <w:rPr>
          <w:rFonts w:ascii="Arial" w:hAnsi="Arial"/>
          <w:sz w:val="24"/>
          <w:szCs w:val="24"/>
        </w:rPr>
        <w:t>/A</w:t>
      </w:r>
      <w:r w:rsidR="00274840">
        <w:rPr>
          <w:rFonts w:ascii="Arial" w:hAnsi="Arial"/>
          <w:sz w:val="24"/>
          <w:szCs w:val="24"/>
        </w:rPr>
        <w:t xml:space="preserve"> </w:t>
      </w:r>
      <w:r w:rsidRPr="00F6508E">
        <w:rPr>
          <w:rFonts w:ascii="Arial" w:hAnsi="Arial"/>
          <w:sz w:val="24"/>
          <w:szCs w:val="24"/>
        </w:rPr>
        <w:t>”}</w:t>
      </w:r>
    </w:p>
    <w:p w:rsidR="00F045AA" w:rsidRPr="00F6508E" w:rsidRDefault="00F045AA" w:rsidP="00B96AF4">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B96AF4">
        <w:rPr>
          <w:rFonts w:ascii="Arial" w:hAnsi="Arial"/>
          <w:sz w:val="24"/>
          <w:szCs w:val="24"/>
        </w:rPr>
        <w:t>1A</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1756" w:type="dxa"/>
            <w:tcBorders>
              <w:bottom w:val="single" w:sz="4" w:space="0" w:color="000000"/>
            </w:tcBorders>
            <w:shd w:val="clear" w:color="auto" w:fill="auto"/>
            <w:vAlign w:val="center"/>
          </w:tcPr>
          <w:p w:rsidR="00642AAD" w:rsidRPr="00A92FD6" w:rsidRDefault="00E04EF1" w:rsidP="001040C7">
            <w:pPr>
              <w:spacing w:after="0" w:line="240" w:lineRule="auto"/>
              <w:rPr>
                <w:rFonts w:eastAsia="Times New Roman" w:cs="Calibri"/>
                <w:color w:val="000000"/>
              </w:rPr>
            </w:pPr>
            <w:r>
              <w:rPr>
                <w:rFonts w:eastAsia="Times New Roman" w:cs="Calibri"/>
                <w:color w:val="000000"/>
              </w:rPr>
              <w:t xml:space="preserve"> </w:t>
            </w: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lastRenderedPageBreak/>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w:t>
            </w:r>
            <w:r w:rsidRPr="00233B59">
              <w:rPr>
                <w:rFonts w:ascii="Arial" w:hAnsi="Arial"/>
                <w:sz w:val="24"/>
                <w:szCs w:val="24"/>
              </w:rPr>
              <w:lastRenderedPageBreak/>
              <w:t>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F268A5"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F268A5"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w:t>
            </w:r>
            <w:r w:rsidRPr="00F6508E">
              <w:rPr>
                <w:rFonts w:ascii="Arial" w:hAnsi="Arial" w:cs="Arial"/>
                <w:color w:val="auto"/>
                <w:lang w:val="en-US" w:eastAsia="en-US" w:bidi="ar-SA"/>
              </w:rPr>
              <w:lastRenderedPageBreak/>
              <w:t>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years and three-fourths (5/6) for goods with a shelf life of two years </w:t>
            </w:r>
            <w:r w:rsidRPr="00233B59">
              <w:rPr>
                <w:sz w:val="24"/>
                <w:szCs w:val="24"/>
              </w:rPr>
              <w:lastRenderedPageBreak/>
              <w:t>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shipped the compensation item within the agreed period in the </w:t>
            </w:r>
            <w:r w:rsidRPr="00233B59">
              <w:rPr>
                <w:sz w:val="24"/>
                <w:szCs w:val="24"/>
              </w:rPr>
              <w:lastRenderedPageBreak/>
              <w:t>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The seller must stamp the phrase (failed &amp; not fit to consumption MOH-KIMADIA) on the failure qty. or not compliance tospecification in 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 xml:space="preserve">Any item or quantity that fails in analysis as verified by our national center </w:t>
            </w:r>
            <w:r w:rsidRPr="00233B59">
              <w:rPr>
                <w:sz w:val="24"/>
                <w:szCs w:val="24"/>
              </w:rPr>
              <w:lastRenderedPageBreak/>
              <w:t>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obligation specified in the plat form of implementation the contracts which issued a certificate of first delivery for preformed work or </w:t>
            </w:r>
            <w:r w:rsidRPr="00233B59">
              <w:rPr>
                <w:sz w:val="24"/>
                <w:szCs w:val="24"/>
                <w:lang w:bidi="ar-IQ"/>
              </w:rPr>
              <w:lastRenderedPageBreak/>
              <w:t>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F268A5" w:rsidP="00F045AA">
      <w:pPr>
        <w:pStyle w:val="TOC3"/>
      </w:pPr>
      <w:r w:rsidRPr="00F268A5">
        <w:rPr>
          <w:rFonts w:eastAsia="Times New Roman"/>
          <w:noProof/>
          <w:lang w:val="en-GB" w:eastAsia="en-GB"/>
        </w:rPr>
        <w:fldChar w:fldCharType="begin"/>
      </w:r>
      <w:r w:rsidR="00F045AA" w:rsidRPr="00F6508E">
        <w:instrText xml:space="preserve"> TOC \t "Head 8.1,3" </w:instrText>
      </w:r>
      <w:r w:rsidRPr="00F268A5">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F268A5"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EDB" w:rsidRDefault="00C45EDB" w:rsidP="00C10F59">
      <w:pPr>
        <w:spacing w:after="0" w:line="240" w:lineRule="auto"/>
      </w:pPr>
      <w:r>
        <w:separator/>
      </w:r>
    </w:p>
  </w:endnote>
  <w:endnote w:type="continuationSeparator" w:id="1">
    <w:p w:rsidR="00C45EDB" w:rsidRDefault="00C45EDB"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B96AF4">
    <w:pPr>
      <w:pStyle w:val="Footer"/>
    </w:pPr>
    <w:r>
      <w:t>Tender No</w:t>
    </w:r>
    <w:r w:rsidR="003B3C93">
      <w:t xml:space="preserve">. : Med </w:t>
    </w:r>
    <w:r w:rsidR="00B96AF4">
      <w:t>1</w:t>
    </w:r>
    <w:r w:rsidR="003B3C93">
      <w:t>/</w:t>
    </w:r>
    <w:r w:rsidR="00C325A9">
      <w:t>2019</w:t>
    </w:r>
    <w:r w:rsidR="00B96AF4">
      <w:t>/A</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B96AF4">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B96AF4">
      <w:rPr>
        <w:rFonts w:asciiTheme="majorHAnsi" w:hAnsiTheme="majorHAnsi"/>
      </w:rPr>
      <w:t>1</w:t>
    </w:r>
    <w:r>
      <w:rPr>
        <w:rFonts w:asciiTheme="majorHAnsi" w:hAnsiTheme="majorHAnsi"/>
      </w:rPr>
      <w:t>/</w:t>
    </w:r>
    <w:r w:rsidR="00C325A9">
      <w:rPr>
        <w:rFonts w:asciiTheme="majorHAnsi" w:hAnsiTheme="majorHAnsi"/>
      </w:rPr>
      <w:t>2019</w:t>
    </w:r>
    <w:r w:rsidR="00274840">
      <w:rPr>
        <w:rFonts w:asciiTheme="majorHAnsi" w:hAnsiTheme="majorHAnsi"/>
      </w:rPr>
      <w:t xml:space="preserve"> </w:t>
    </w:r>
    <w:r w:rsidR="00B96AF4">
      <w:rPr>
        <w:rFonts w:asciiTheme="majorHAnsi" w:hAnsiTheme="majorHAnsi"/>
      </w:rPr>
      <w:t>/A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F268A5" w:rsidRPr="00F268A5">
      <w:fldChar w:fldCharType="begin"/>
    </w:r>
    <w:r>
      <w:instrText xml:space="preserve"> PAGE   \* MERGEFORMAT </w:instrText>
    </w:r>
    <w:r w:rsidR="00F268A5" w:rsidRPr="00F268A5">
      <w:fldChar w:fldCharType="separate"/>
    </w:r>
    <w:r w:rsidR="00B96AF4" w:rsidRPr="00B96AF4">
      <w:rPr>
        <w:rFonts w:asciiTheme="majorHAnsi" w:hAnsiTheme="majorHAnsi"/>
        <w:noProof/>
      </w:rPr>
      <w:t>58</w:t>
    </w:r>
    <w:r w:rsidR="00F268A5">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EDB" w:rsidRDefault="00C45EDB" w:rsidP="00C10F59">
      <w:pPr>
        <w:spacing w:after="0" w:line="240" w:lineRule="auto"/>
      </w:pPr>
      <w:r>
        <w:separator/>
      </w:r>
    </w:p>
  </w:footnote>
  <w:footnote w:type="continuationSeparator" w:id="1">
    <w:p w:rsidR="00C45EDB" w:rsidRDefault="00C45EDB"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rsidP="00E1380F">
    <w:pPr>
      <w:pStyle w:val="Header"/>
      <w:pBdr>
        <w:bottom w:val="single" w:sz="4" w:space="0" w:color="auto"/>
      </w:pBdr>
    </w:pPr>
    <w:hyperlink r:id="rId1" w:history="1">
      <w:r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F268A5">
      <w:rPr>
        <w:rStyle w:val="PageNumber"/>
      </w:rPr>
      <w:fldChar w:fldCharType="begin"/>
    </w:r>
    <w:r>
      <w:rPr>
        <w:rStyle w:val="PageNumber"/>
      </w:rPr>
      <w:instrText xml:space="preserve"> PAGE </w:instrText>
    </w:r>
    <w:r w:rsidR="00F268A5">
      <w:rPr>
        <w:rStyle w:val="PageNumber"/>
      </w:rPr>
      <w:fldChar w:fldCharType="separate"/>
    </w:r>
    <w:r w:rsidR="00B96AF4">
      <w:rPr>
        <w:rStyle w:val="PageNumber"/>
        <w:noProof/>
      </w:rPr>
      <w:t>26</w:t>
    </w:r>
    <w:r w:rsidR="00F268A5">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rsidP="00BE54EA">
    <w:pPr>
      <w:pStyle w:val="Header"/>
      <w:tabs>
        <w:tab w:val="clear" w:pos="4320"/>
        <w:tab w:val="clear" w:pos="8640"/>
        <w:tab w:val="left" w:pos="6000"/>
      </w:tabs>
    </w:pP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F268A5" w:rsidP="00BE54EA">
    <w:pPr>
      <w:pStyle w:val="Header"/>
      <w:pBdr>
        <w:bottom w:val="single" w:sz="4" w:space="0" w:color="auto"/>
      </w:pBdr>
      <w:tabs>
        <w:tab w:val="left" w:pos="4728"/>
      </w:tabs>
    </w:pP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B96AF4">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F268A5">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pPr>
      <w:pStyle w:val="Header"/>
      <w:pBdr>
        <w:bottom w:val="single" w:sz="4" w:space="1" w:color="auto"/>
      </w:pBdr>
    </w:pP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F268A5">
      <w:rPr>
        <w:rStyle w:val="PageNumber"/>
      </w:rPr>
      <w:fldChar w:fldCharType="begin"/>
    </w:r>
    <w:r>
      <w:rPr>
        <w:rStyle w:val="PageNumber"/>
      </w:rPr>
      <w:instrText xml:space="preserve"> PAGE </w:instrText>
    </w:r>
    <w:r w:rsidR="00F268A5">
      <w:rPr>
        <w:rStyle w:val="PageNumber"/>
      </w:rPr>
      <w:fldChar w:fldCharType="separate"/>
    </w:r>
    <w:r w:rsidR="00B96AF4">
      <w:rPr>
        <w:rStyle w:val="PageNumber"/>
        <w:noProof/>
      </w:rPr>
      <w:t>25</w:t>
    </w:r>
    <w:r w:rsidR="00F268A5">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pPr>
      <w:pStyle w:val="Header"/>
      <w:pBdr>
        <w:bottom w:val="single" w:sz="4" w:space="1" w:color="auto"/>
      </w:pBdr>
    </w:pP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F268A5">
      <w:rPr>
        <w:rStyle w:val="PageNumber"/>
      </w:rPr>
      <w:fldChar w:fldCharType="begin"/>
    </w:r>
    <w:r>
      <w:rPr>
        <w:rStyle w:val="PageNumber"/>
      </w:rPr>
      <w:instrText xml:space="preserve"> PAGE </w:instrText>
    </w:r>
    <w:r w:rsidR="00F268A5">
      <w:rPr>
        <w:rStyle w:val="PageNumber"/>
      </w:rPr>
      <w:fldChar w:fldCharType="separate"/>
    </w:r>
    <w:r w:rsidR="00B96AF4">
      <w:rPr>
        <w:rStyle w:val="PageNumber"/>
        <w:noProof/>
      </w:rPr>
      <w:t>15</w:t>
    </w:r>
    <w:r w:rsidR="00F268A5">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pPr>
      <w:pStyle w:val="Header"/>
      <w:pBdr>
        <w:bottom w:val="single" w:sz="4" w:space="1" w:color="auto"/>
      </w:pBdr>
    </w:pP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B96AF4">
      <w:rPr>
        <w:rStyle w:val="PageNumber"/>
        <w:noProof/>
      </w:rPr>
      <w:t>20</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F268A5" w:rsidP="005D19C1">
    <w:pPr>
      <w:pStyle w:val="Header"/>
    </w:pPr>
    <w:hyperlink r:id="rId1" w:history="1">
      <w:r w:rsidR="00B96AF4" w:rsidRPr="00F268A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B96AF4">
        <w:rPr>
          <w:noProof/>
        </w:rPr>
        <w:t>58</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6194"/>
  </w:hdrShapeDefaults>
  <w:footnotePr>
    <w:footnote w:id="0"/>
    <w:footnote w:id="1"/>
  </w:footnotePr>
  <w:endnotePr>
    <w:numFmt w:val="decimal"/>
    <w:endnote w:id="0"/>
    <w:endnote w:id="1"/>
  </w:endnotePr>
  <w:compat/>
  <w:rsids>
    <w:rsidRoot w:val="00245E35"/>
    <w:rsid w:val="00005C80"/>
    <w:rsid w:val="000128FA"/>
    <w:rsid w:val="00035B11"/>
    <w:rsid w:val="00047379"/>
    <w:rsid w:val="00053E4F"/>
    <w:rsid w:val="00074B68"/>
    <w:rsid w:val="00077590"/>
    <w:rsid w:val="00080BDE"/>
    <w:rsid w:val="000860C4"/>
    <w:rsid w:val="000C45E2"/>
    <w:rsid w:val="000C4AF0"/>
    <w:rsid w:val="000C5BD0"/>
    <w:rsid w:val="000C5D43"/>
    <w:rsid w:val="000C70DF"/>
    <w:rsid w:val="000D655A"/>
    <w:rsid w:val="000D7E9C"/>
    <w:rsid w:val="001003FE"/>
    <w:rsid w:val="00102970"/>
    <w:rsid w:val="00106CDD"/>
    <w:rsid w:val="001101D1"/>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0615"/>
    <w:rsid w:val="002121C1"/>
    <w:rsid w:val="00214EDD"/>
    <w:rsid w:val="0023660F"/>
    <w:rsid w:val="00245E35"/>
    <w:rsid w:val="0025010D"/>
    <w:rsid w:val="00274840"/>
    <w:rsid w:val="0027579C"/>
    <w:rsid w:val="00283913"/>
    <w:rsid w:val="002D5054"/>
    <w:rsid w:val="002E2A01"/>
    <w:rsid w:val="003107CD"/>
    <w:rsid w:val="003248CC"/>
    <w:rsid w:val="00325A3A"/>
    <w:rsid w:val="00331864"/>
    <w:rsid w:val="00333D6C"/>
    <w:rsid w:val="00343603"/>
    <w:rsid w:val="00345092"/>
    <w:rsid w:val="00346312"/>
    <w:rsid w:val="003550C0"/>
    <w:rsid w:val="00363481"/>
    <w:rsid w:val="00371403"/>
    <w:rsid w:val="00385E03"/>
    <w:rsid w:val="00390B08"/>
    <w:rsid w:val="00391023"/>
    <w:rsid w:val="00393F03"/>
    <w:rsid w:val="003A09EE"/>
    <w:rsid w:val="003A22BE"/>
    <w:rsid w:val="003B2532"/>
    <w:rsid w:val="003B3C93"/>
    <w:rsid w:val="003D04CA"/>
    <w:rsid w:val="003E6ED5"/>
    <w:rsid w:val="003E79DF"/>
    <w:rsid w:val="003F27F3"/>
    <w:rsid w:val="003F7830"/>
    <w:rsid w:val="0040451B"/>
    <w:rsid w:val="00404E83"/>
    <w:rsid w:val="00410738"/>
    <w:rsid w:val="0042285E"/>
    <w:rsid w:val="004229F0"/>
    <w:rsid w:val="004317CD"/>
    <w:rsid w:val="004330F8"/>
    <w:rsid w:val="00440761"/>
    <w:rsid w:val="00445F76"/>
    <w:rsid w:val="0046007A"/>
    <w:rsid w:val="00466CA1"/>
    <w:rsid w:val="004679AB"/>
    <w:rsid w:val="00482A58"/>
    <w:rsid w:val="004A00DA"/>
    <w:rsid w:val="004A6CBB"/>
    <w:rsid w:val="004B05BC"/>
    <w:rsid w:val="004B56FA"/>
    <w:rsid w:val="004E2F19"/>
    <w:rsid w:val="004E34A8"/>
    <w:rsid w:val="004E3F1E"/>
    <w:rsid w:val="004F709D"/>
    <w:rsid w:val="00507ACD"/>
    <w:rsid w:val="00530D48"/>
    <w:rsid w:val="005532B9"/>
    <w:rsid w:val="00556299"/>
    <w:rsid w:val="00562656"/>
    <w:rsid w:val="005805BD"/>
    <w:rsid w:val="00585A9B"/>
    <w:rsid w:val="00586EC6"/>
    <w:rsid w:val="00587D9C"/>
    <w:rsid w:val="00592249"/>
    <w:rsid w:val="00592C25"/>
    <w:rsid w:val="00594EA7"/>
    <w:rsid w:val="005A0D65"/>
    <w:rsid w:val="005A467B"/>
    <w:rsid w:val="005B0CD9"/>
    <w:rsid w:val="005B20E3"/>
    <w:rsid w:val="005B741A"/>
    <w:rsid w:val="005C5265"/>
    <w:rsid w:val="005D19C1"/>
    <w:rsid w:val="005D7D21"/>
    <w:rsid w:val="005F3BD7"/>
    <w:rsid w:val="005F72CE"/>
    <w:rsid w:val="006010E9"/>
    <w:rsid w:val="00603B0D"/>
    <w:rsid w:val="0061772A"/>
    <w:rsid w:val="00624B21"/>
    <w:rsid w:val="006257C8"/>
    <w:rsid w:val="00625AB5"/>
    <w:rsid w:val="00630175"/>
    <w:rsid w:val="00634134"/>
    <w:rsid w:val="006410F4"/>
    <w:rsid w:val="00642AAD"/>
    <w:rsid w:val="00647152"/>
    <w:rsid w:val="00647BE7"/>
    <w:rsid w:val="0066630A"/>
    <w:rsid w:val="00682D4F"/>
    <w:rsid w:val="00682FCB"/>
    <w:rsid w:val="0069082E"/>
    <w:rsid w:val="006969EF"/>
    <w:rsid w:val="00697E62"/>
    <w:rsid w:val="006B57C9"/>
    <w:rsid w:val="006F4668"/>
    <w:rsid w:val="006F4FFD"/>
    <w:rsid w:val="007061C4"/>
    <w:rsid w:val="007107FD"/>
    <w:rsid w:val="00711BC9"/>
    <w:rsid w:val="00712FFC"/>
    <w:rsid w:val="00720F3D"/>
    <w:rsid w:val="007422D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30209"/>
    <w:rsid w:val="00946B35"/>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63F80"/>
    <w:rsid w:val="00A7096C"/>
    <w:rsid w:val="00AA3F99"/>
    <w:rsid w:val="00AA4BD7"/>
    <w:rsid w:val="00AB07F9"/>
    <w:rsid w:val="00AB0F83"/>
    <w:rsid w:val="00AB3BA0"/>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6555B"/>
    <w:rsid w:val="00B73120"/>
    <w:rsid w:val="00B73321"/>
    <w:rsid w:val="00B73BCA"/>
    <w:rsid w:val="00B86245"/>
    <w:rsid w:val="00B879E3"/>
    <w:rsid w:val="00B96AF4"/>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25A9"/>
    <w:rsid w:val="00C33C12"/>
    <w:rsid w:val="00C352E8"/>
    <w:rsid w:val="00C356AF"/>
    <w:rsid w:val="00C44447"/>
    <w:rsid w:val="00C45B98"/>
    <w:rsid w:val="00C45EDB"/>
    <w:rsid w:val="00C6112A"/>
    <w:rsid w:val="00C74F0E"/>
    <w:rsid w:val="00C87AC0"/>
    <w:rsid w:val="00C96076"/>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1440"/>
    <w:rsid w:val="00DC622F"/>
    <w:rsid w:val="00DC681A"/>
    <w:rsid w:val="00DD60B7"/>
    <w:rsid w:val="00DE3734"/>
    <w:rsid w:val="00DF492F"/>
    <w:rsid w:val="00DF7FD0"/>
    <w:rsid w:val="00E0409B"/>
    <w:rsid w:val="00E04EF1"/>
    <w:rsid w:val="00E10335"/>
    <w:rsid w:val="00E1380F"/>
    <w:rsid w:val="00E140D2"/>
    <w:rsid w:val="00E45B20"/>
    <w:rsid w:val="00E517EF"/>
    <w:rsid w:val="00E56370"/>
    <w:rsid w:val="00E669DF"/>
    <w:rsid w:val="00E702AF"/>
    <w:rsid w:val="00E75B92"/>
    <w:rsid w:val="00E8495D"/>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268A5"/>
    <w:rsid w:val="00F336B0"/>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Pages>
  <Words>15512</Words>
  <Characters>88419</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80</cp:revision>
  <cp:lastPrinted>2017-12-26T09:25:00Z</cp:lastPrinted>
  <dcterms:created xsi:type="dcterms:W3CDTF">2017-12-13T09:35:00Z</dcterms:created>
  <dcterms:modified xsi:type="dcterms:W3CDTF">2019-04-09T10:59:00Z</dcterms:modified>
</cp:coreProperties>
</file>